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0F2E" w14:textId="77777777" w:rsidR="00AD02F0" w:rsidRDefault="006475D5">
      <w:pPr>
        <w:spacing w:before="61"/>
        <w:ind w:left="2920"/>
        <w:rPr>
          <w:b/>
          <w:sz w:val="26"/>
        </w:rPr>
      </w:pPr>
      <w:r>
        <w:rPr>
          <w:b/>
          <w:color w:val="010101"/>
          <w:sz w:val="26"/>
        </w:rPr>
        <w:t>Arkusz informacyjny skargi obywatelskiej</w:t>
      </w:r>
    </w:p>
    <w:p w14:paraId="28104D46" w14:textId="77777777" w:rsidR="00AD02F0" w:rsidRDefault="00AD02F0">
      <w:pPr>
        <w:pStyle w:val="BodyText"/>
        <w:spacing w:before="10"/>
        <w:rPr>
          <w:b/>
          <w:sz w:val="25"/>
        </w:rPr>
      </w:pPr>
    </w:p>
    <w:p w14:paraId="1471501F" w14:textId="5C51E7EA" w:rsidR="00AD02F0" w:rsidRDefault="006475D5">
      <w:pPr>
        <w:pStyle w:val="BodyText"/>
        <w:ind w:left="100" w:right="363"/>
      </w:pPr>
      <w:r>
        <w:rPr>
          <w:color w:val="010101"/>
        </w:rPr>
        <w:t xml:space="preserve">Członkowie </w:t>
      </w:r>
      <w:r w:rsidR="004F3AF6">
        <w:rPr>
          <w:color w:val="050505"/>
        </w:rPr>
        <w:t>Brigantine</w:t>
      </w:r>
      <w:r>
        <w:rPr>
          <w:color w:val="050505"/>
        </w:rPr>
        <w:t xml:space="preserve"> Police Department </w:t>
      </w:r>
      <w:r>
        <w:rPr>
          <w:color w:val="010101"/>
        </w:rPr>
        <w:t>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5A1B78FF" w14:textId="77777777" w:rsidR="00AD02F0" w:rsidRDefault="00AD02F0">
      <w:pPr>
        <w:pStyle w:val="BodyText"/>
        <w:spacing w:before="10"/>
        <w:rPr>
          <w:sz w:val="20"/>
        </w:rPr>
      </w:pPr>
    </w:p>
    <w:p w14:paraId="6AFDB044" w14:textId="77777777" w:rsidR="00AD02F0" w:rsidRDefault="006475D5">
      <w:pPr>
        <w:pStyle w:val="ListParagraph"/>
        <w:numPr>
          <w:ilvl w:val="0"/>
          <w:numId w:val="1"/>
        </w:numPr>
        <w:tabs>
          <w:tab w:val="left" w:pos="821"/>
        </w:tabs>
        <w:ind w:right="311" w:hanging="360"/>
        <w:rPr>
          <w:sz w:val="21"/>
        </w:rPr>
      </w:pPr>
      <w:r>
        <w:rPr>
          <w:color w:val="010101"/>
          <w:sz w:val="21"/>
        </w:rPr>
        <w:t>Zgłoszenia lub skargi dotyczące uchybień funkcjonariusza/pracownika muszą być przyjmowane w każdym momencie od każdego, w tym z anonimowych</w:t>
      </w:r>
      <w:r>
        <w:rPr>
          <w:color w:val="010101"/>
          <w:spacing w:val="-12"/>
          <w:sz w:val="21"/>
        </w:rPr>
        <w:t xml:space="preserve"> </w:t>
      </w:r>
      <w:r>
        <w:rPr>
          <w:color w:val="010101"/>
          <w:sz w:val="21"/>
        </w:rPr>
        <w:t>źródeł.</w:t>
      </w:r>
    </w:p>
    <w:p w14:paraId="2160148B" w14:textId="77777777" w:rsidR="00AD02F0" w:rsidRDefault="00AD02F0">
      <w:pPr>
        <w:pStyle w:val="BodyText"/>
        <w:spacing w:before="10"/>
        <w:rPr>
          <w:sz w:val="20"/>
        </w:rPr>
      </w:pPr>
    </w:p>
    <w:p w14:paraId="7E00EB70" w14:textId="77777777" w:rsidR="00AD02F0" w:rsidRDefault="006475D5">
      <w:pPr>
        <w:pStyle w:val="ListParagraph"/>
        <w:numPr>
          <w:ilvl w:val="0"/>
          <w:numId w:val="1"/>
        </w:numPr>
        <w:tabs>
          <w:tab w:val="left" w:pos="821"/>
        </w:tabs>
        <w:ind w:right="1126" w:hanging="360"/>
        <w:rPr>
          <w:sz w:val="21"/>
        </w:rPr>
      </w:pPr>
      <w:r>
        <w:rPr>
          <w:color w:val="010101"/>
          <w:sz w:val="21"/>
        </w:rPr>
        <w:t>Skargi są przyjmowane bez względu na wiek, rasę, pochodzenie etniczne, religię, płeć, orientację seksualną, niepełnosprawność lub status imigracyjny strony zgłaszającej</w:t>
      </w:r>
      <w:r>
        <w:rPr>
          <w:color w:val="010101"/>
          <w:spacing w:val="-22"/>
          <w:sz w:val="21"/>
        </w:rPr>
        <w:t xml:space="preserve"> </w:t>
      </w:r>
      <w:r>
        <w:rPr>
          <w:color w:val="010101"/>
          <w:sz w:val="21"/>
        </w:rPr>
        <w:t>skargę.</w:t>
      </w:r>
    </w:p>
    <w:p w14:paraId="04552AD1" w14:textId="77777777" w:rsidR="00AD02F0" w:rsidRDefault="00AD02F0">
      <w:pPr>
        <w:pStyle w:val="BodyText"/>
        <w:spacing w:before="10"/>
        <w:rPr>
          <w:sz w:val="20"/>
        </w:rPr>
      </w:pPr>
    </w:p>
    <w:p w14:paraId="5258429B" w14:textId="77777777" w:rsidR="00AD02F0" w:rsidRDefault="006475D5">
      <w:pPr>
        <w:pStyle w:val="ListParagraph"/>
        <w:numPr>
          <w:ilvl w:val="0"/>
          <w:numId w:val="1"/>
        </w:numPr>
        <w:tabs>
          <w:tab w:val="left" w:pos="877"/>
          <w:tab w:val="left" w:pos="878"/>
        </w:tabs>
        <w:ind w:right="1312" w:hanging="360"/>
        <w:rPr>
          <w:sz w:val="21"/>
        </w:rPr>
      </w:pPr>
      <w:r>
        <w:rPr>
          <w:color w:val="010101"/>
          <w:sz w:val="21"/>
        </w:rPr>
        <w:t>Skarga zostanie przesłana do przełożonego lub specjalnie przeszkolonego funkcjonariusza ds. wewnętrznych, który przeprowadzi dokładne i obiektywne</w:t>
      </w:r>
      <w:r>
        <w:rPr>
          <w:color w:val="010101"/>
          <w:spacing w:val="-19"/>
          <w:sz w:val="21"/>
        </w:rPr>
        <w:t xml:space="preserve"> </w:t>
      </w:r>
      <w:r>
        <w:rPr>
          <w:color w:val="010101"/>
          <w:sz w:val="21"/>
        </w:rPr>
        <w:t>dochodzenie.</w:t>
      </w:r>
    </w:p>
    <w:p w14:paraId="1F00145E" w14:textId="77777777" w:rsidR="00AD02F0" w:rsidRDefault="00AD02F0">
      <w:pPr>
        <w:pStyle w:val="BodyText"/>
        <w:spacing w:before="10"/>
        <w:rPr>
          <w:sz w:val="20"/>
        </w:rPr>
      </w:pPr>
    </w:p>
    <w:p w14:paraId="611A2EBE" w14:textId="77777777" w:rsidR="00AD02F0" w:rsidRDefault="006475D5">
      <w:pPr>
        <w:pStyle w:val="ListParagraph"/>
        <w:numPr>
          <w:ilvl w:val="0"/>
          <w:numId w:val="1"/>
        </w:numPr>
        <w:tabs>
          <w:tab w:val="left" w:pos="820"/>
        </w:tabs>
        <w:ind w:right="229"/>
        <w:rPr>
          <w:sz w:val="21"/>
        </w:rPr>
      </w:pPr>
      <w:r>
        <w:rPr>
          <w:color w:val="010101"/>
          <w:sz w:val="21"/>
        </w:rPr>
        <w:t>Mogą Państwo zostać poproszeni o pomoc w śledztwie, składając szczegółowe oświadczenie o tym, co się wydarzyło lub dostarczając innych ważnych informacji lub</w:t>
      </w:r>
      <w:r>
        <w:rPr>
          <w:color w:val="010101"/>
          <w:spacing w:val="-20"/>
          <w:sz w:val="21"/>
        </w:rPr>
        <w:t xml:space="preserve"> </w:t>
      </w:r>
      <w:r>
        <w:rPr>
          <w:color w:val="010101"/>
          <w:sz w:val="21"/>
        </w:rPr>
        <w:t>dokumentów.</w:t>
      </w:r>
    </w:p>
    <w:p w14:paraId="44800BA3" w14:textId="77777777" w:rsidR="00AD02F0" w:rsidRDefault="00AD02F0">
      <w:pPr>
        <w:pStyle w:val="BodyText"/>
        <w:spacing w:before="10"/>
        <w:rPr>
          <w:sz w:val="20"/>
        </w:rPr>
      </w:pPr>
    </w:p>
    <w:p w14:paraId="7F4B332B" w14:textId="77777777" w:rsidR="00AD02F0" w:rsidRDefault="006475D5">
      <w:pPr>
        <w:pStyle w:val="ListParagraph"/>
        <w:numPr>
          <w:ilvl w:val="0"/>
          <w:numId w:val="1"/>
        </w:numPr>
        <w:tabs>
          <w:tab w:val="left" w:pos="820"/>
        </w:tabs>
        <w:ind w:right="478"/>
        <w:rPr>
          <w:sz w:val="21"/>
        </w:rPr>
      </w:pPr>
      <w:r>
        <w:rPr>
          <w:color w:val="010101"/>
          <w:sz w:val="21"/>
        </w:rPr>
        <w:t>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w:t>
      </w:r>
      <w:r>
        <w:rPr>
          <w:color w:val="010101"/>
          <w:spacing w:val="-11"/>
          <w:sz w:val="21"/>
        </w:rPr>
        <w:t xml:space="preserve"> </w:t>
      </w:r>
      <w:r>
        <w:rPr>
          <w:color w:val="010101"/>
          <w:sz w:val="21"/>
        </w:rPr>
        <w:t>mianowicie:</w:t>
      </w:r>
    </w:p>
    <w:p w14:paraId="02F6F95A" w14:textId="77777777" w:rsidR="00AD02F0" w:rsidRDefault="00AD02F0">
      <w:pPr>
        <w:pStyle w:val="BodyText"/>
        <w:spacing w:before="10"/>
        <w:rPr>
          <w:sz w:val="20"/>
        </w:rPr>
      </w:pPr>
    </w:p>
    <w:p w14:paraId="57C8A791" w14:textId="77777777" w:rsidR="00AD02F0" w:rsidRDefault="006475D5">
      <w:pPr>
        <w:pStyle w:val="ListParagraph"/>
        <w:numPr>
          <w:ilvl w:val="1"/>
          <w:numId w:val="1"/>
        </w:numPr>
        <w:tabs>
          <w:tab w:val="left" w:pos="1541"/>
        </w:tabs>
        <w:ind w:right="346" w:hanging="360"/>
        <w:rPr>
          <w:sz w:val="21"/>
        </w:rPr>
      </w:pPr>
      <w:r>
        <w:rPr>
          <w:color w:val="010101"/>
          <w:sz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47D15685" w14:textId="77777777" w:rsidR="00AD02F0" w:rsidRDefault="00AD02F0">
      <w:pPr>
        <w:pStyle w:val="BodyText"/>
        <w:spacing w:before="10"/>
        <w:rPr>
          <w:sz w:val="20"/>
        </w:rPr>
      </w:pPr>
    </w:p>
    <w:p w14:paraId="44F10BED" w14:textId="77777777" w:rsidR="00AD02F0" w:rsidRDefault="006475D5">
      <w:pPr>
        <w:pStyle w:val="ListParagraph"/>
        <w:numPr>
          <w:ilvl w:val="1"/>
          <w:numId w:val="1"/>
        </w:numPr>
        <w:tabs>
          <w:tab w:val="left" w:pos="1541"/>
        </w:tabs>
        <w:ind w:hanging="360"/>
        <w:rPr>
          <w:sz w:val="21"/>
        </w:rPr>
      </w:pPr>
      <w:r>
        <w:rPr>
          <w:color w:val="010101"/>
          <w:sz w:val="21"/>
        </w:rPr>
        <w:t>Bezzasadność: Z przeważającej części dowodów wynika, że domniemane uchybienie nie</w:t>
      </w:r>
      <w:r>
        <w:rPr>
          <w:color w:val="010101"/>
          <w:spacing w:val="-28"/>
          <w:sz w:val="21"/>
        </w:rPr>
        <w:t xml:space="preserve"> </w:t>
      </w:r>
      <w:r>
        <w:rPr>
          <w:color w:val="010101"/>
          <w:sz w:val="21"/>
        </w:rPr>
        <w:t>miało</w:t>
      </w:r>
    </w:p>
    <w:p w14:paraId="6E63543E" w14:textId="77777777" w:rsidR="00AD02F0" w:rsidRDefault="006475D5">
      <w:pPr>
        <w:pStyle w:val="BodyText"/>
        <w:ind w:left="1540"/>
      </w:pPr>
      <w:r>
        <w:rPr>
          <w:color w:val="010101"/>
        </w:rPr>
        <w:t>miejsca.</w:t>
      </w:r>
    </w:p>
    <w:p w14:paraId="73A3C3DC" w14:textId="77777777" w:rsidR="00AD02F0" w:rsidRDefault="00AD02F0">
      <w:pPr>
        <w:pStyle w:val="BodyText"/>
        <w:spacing w:before="10"/>
        <w:rPr>
          <w:sz w:val="20"/>
        </w:rPr>
      </w:pPr>
    </w:p>
    <w:p w14:paraId="6C9DBA24" w14:textId="77777777" w:rsidR="00AD02F0" w:rsidRDefault="006475D5">
      <w:pPr>
        <w:pStyle w:val="ListParagraph"/>
        <w:numPr>
          <w:ilvl w:val="1"/>
          <w:numId w:val="1"/>
        </w:numPr>
        <w:tabs>
          <w:tab w:val="left" w:pos="1541"/>
        </w:tabs>
        <w:ind w:right="324" w:hanging="360"/>
        <w:rPr>
          <w:sz w:val="21"/>
        </w:rPr>
      </w:pPr>
      <w:r>
        <w:rPr>
          <w:color w:val="010101"/>
          <w:sz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w:t>
      </w:r>
      <w:r>
        <w:rPr>
          <w:color w:val="010101"/>
          <w:spacing w:val="-10"/>
          <w:sz w:val="21"/>
        </w:rPr>
        <w:t xml:space="preserve"> </w:t>
      </w:r>
      <w:r>
        <w:rPr>
          <w:color w:val="010101"/>
          <w:sz w:val="21"/>
        </w:rPr>
        <w:t>szkolenia.</w:t>
      </w:r>
    </w:p>
    <w:p w14:paraId="79FAF494" w14:textId="77777777" w:rsidR="00AD02F0" w:rsidRDefault="00AD02F0">
      <w:pPr>
        <w:pStyle w:val="BodyText"/>
        <w:spacing w:before="10"/>
        <w:rPr>
          <w:sz w:val="20"/>
        </w:rPr>
      </w:pPr>
    </w:p>
    <w:p w14:paraId="2B85DB8F" w14:textId="77777777" w:rsidR="00AD02F0" w:rsidRDefault="006475D5">
      <w:pPr>
        <w:pStyle w:val="ListParagraph"/>
        <w:numPr>
          <w:ilvl w:val="1"/>
          <w:numId w:val="1"/>
        </w:numPr>
        <w:tabs>
          <w:tab w:val="left" w:pos="1541"/>
        </w:tabs>
        <w:ind w:right="257" w:hanging="360"/>
        <w:rPr>
          <w:sz w:val="21"/>
        </w:rPr>
      </w:pPr>
      <w:r>
        <w:rPr>
          <w:color w:val="010101"/>
          <w:sz w:val="21"/>
        </w:rPr>
        <w:t>Brak podtrzymania: Dochodzenie nie ujawniło wystarczających dowodów, aby jasno udowodnić lub obalić stawiany</w:t>
      </w:r>
      <w:r>
        <w:rPr>
          <w:color w:val="010101"/>
          <w:spacing w:val="-9"/>
          <w:sz w:val="21"/>
        </w:rPr>
        <w:t xml:space="preserve"> </w:t>
      </w:r>
      <w:r>
        <w:rPr>
          <w:color w:val="010101"/>
          <w:sz w:val="21"/>
        </w:rPr>
        <w:t>zarzut.</w:t>
      </w:r>
    </w:p>
    <w:p w14:paraId="4944D849" w14:textId="77777777" w:rsidR="00AD02F0" w:rsidRDefault="00AD02F0">
      <w:pPr>
        <w:pStyle w:val="BodyText"/>
        <w:spacing w:before="10"/>
        <w:rPr>
          <w:sz w:val="20"/>
        </w:rPr>
      </w:pPr>
    </w:p>
    <w:p w14:paraId="712A5277" w14:textId="77777777" w:rsidR="00AD02F0" w:rsidRDefault="006475D5">
      <w:pPr>
        <w:pStyle w:val="ListParagraph"/>
        <w:numPr>
          <w:ilvl w:val="0"/>
          <w:numId w:val="1"/>
        </w:numPr>
        <w:tabs>
          <w:tab w:val="left" w:pos="821"/>
        </w:tabs>
        <w:ind w:right="111" w:hanging="360"/>
        <w:rPr>
          <w:sz w:val="21"/>
        </w:rPr>
      </w:pPr>
      <w:r>
        <w:rPr>
          <w:color w:val="010101"/>
          <w:sz w:val="21"/>
        </w:rPr>
        <w:t>Jeśli nasze dochodzenie wykaże, że mogło dojść do przestępstwa, zostanie o tym powiadomiony Prokurator Okręgowy. Mogą Państwo zostać poproszeni o złożenie zeznań w</w:t>
      </w:r>
      <w:r>
        <w:rPr>
          <w:color w:val="010101"/>
          <w:spacing w:val="-19"/>
          <w:sz w:val="21"/>
        </w:rPr>
        <w:t xml:space="preserve"> </w:t>
      </w:r>
      <w:r>
        <w:rPr>
          <w:color w:val="010101"/>
          <w:sz w:val="21"/>
        </w:rPr>
        <w:t>sądzie.</w:t>
      </w:r>
    </w:p>
    <w:p w14:paraId="7FAA9949" w14:textId="77777777" w:rsidR="00AD02F0" w:rsidRDefault="00AD02F0">
      <w:pPr>
        <w:pStyle w:val="BodyText"/>
        <w:spacing w:before="1"/>
      </w:pPr>
    </w:p>
    <w:p w14:paraId="4EC781AD" w14:textId="77777777" w:rsidR="00AD02F0" w:rsidRDefault="006475D5">
      <w:pPr>
        <w:pStyle w:val="ListParagraph"/>
        <w:numPr>
          <w:ilvl w:val="0"/>
          <w:numId w:val="1"/>
        </w:numPr>
        <w:tabs>
          <w:tab w:val="left" w:pos="821"/>
        </w:tabs>
        <w:ind w:right="566" w:hanging="360"/>
        <w:rPr>
          <w:sz w:val="21"/>
        </w:rPr>
      </w:pPr>
      <w:r>
        <w:rPr>
          <w:color w:val="010101"/>
          <w:sz w:val="21"/>
        </w:rPr>
        <w:t>Jeśli w wyniku naszego dochodzenia zostanie postawiony zarzut naruszenia przepisów wydziału, mogą Państwo zostać poproszeni o złożenie zeznań na przesłuchaniu w</w:t>
      </w:r>
      <w:r>
        <w:rPr>
          <w:color w:val="010101"/>
          <w:spacing w:val="-21"/>
          <w:sz w:val="21"/>
        </w:rPr>
        <w:t xml:space="preserve"> </w:t>
      </w:r>
      <w:r>
        <w:rPr>
          <w:color w:val="010101"/>
          <w:sz w:val="21"/>
        </w:rPr>
        <w:t>wydziale.</w:t>
      </w:r>
    </w:p>
    <w:p w14:paraId="56C6A2F0" w14:textId="77777777" w:rsidR="00AD02F0" w:rsidRDefault="00AD02F0">
      <w:pPr>
        <w:pStyle w:val="BodyText"/>
        <w:spacing w:before="1"/>
      </w:pPr>
    </w:p>
    <w:p w14:paraId="1D65A9E8" w14:textId="77777777" w:rsidR="00AD02F0" w:rsidRDefault="006475D5">
      <w:pPr>
        <w:pStyle w:val="ListParagraph"/>
        <w:numPr>
          <w:ilvl w:val="0"/>
          <w:numId w:val="1"/>
        </w:numPr>
        <w:tabs>
          <w:tab w:val="left" w:pos="821"/>
        </w:tabs>
        <w:ind w:right="1268" w:hanging="360"/>
        <w:rPr>
          <w:sz w:val="21"/>
        </w:rPr>
      </w:pPr>
      <w:r>
        <w:rPr>
          <w:color w:val="010101"/>
          <w:sz w:val="21"/>
        </w:rPr>
        <w:t>Jeżeli nasze dochodzenie wykaże, że skarga jest nieuzasadniona lub że funkcjonariusz postąpił właściwie, sprawa zostanie</w:t>
      </w:r>
      <w:r>
        <w:rPr>
          <w:color w:val="010101"/>
          <w:spacing w:val="-9"/>
          <w:sz w:val="21"/>
        </w:rPr>
        <w:t xml:space="preserve"> </w:t>
      </w:r>
      <w:r>
        <w:rPr>
          <w:color w:val="010101"/>
          <w:sz w:val="21"/>
        </w:rPr>
        <w:t>zamknięta.</w:t>
      </w:r>
    </w:p>
    <w:p w14:paraId="6033DF27" w14:textId="77777777" w:rsidR="00AD02F0" w:rsidRDefault="00AD02F0">
      <w:pPr>
        <w:pStyle w:val="BodyText"/>
        <w:spacing w:before="10"/>
        <w:rPr>
          <w:sz w:val="20"/>
        </w:rPr>
      </w:pPr>
    </w:p>
    <w:p w14:paraId="4104CC03" w14:textId="77777777" w:rsidR="00AD02F0" w:rsidRDefault="006475D5">
      <w:pPr>
        <w:pStyle w:val="ListParagraph"/>
        <w:numPr>
          <w:ilvl w:val="0"/>
          <w:numId w:val="1"/>
        </w:numPr>
        <w:tabs>
          <w:tab w:val="left" w:pos="821"/>
        </w:tabs>
        <w:ind w:right="369" w:hanging="360"/>
        <w:rPr>
          <w:sz w:val="21"/>
        </w:rPr>
      </w:pPr>
      <w:r>
        <w:rPr>
          <w:color w:val="010101"/>
          <w:sz w:val="21"/>
        </w:rPr>
        <w:t>Dochodzenia w sprawach wewnętrznych mają charakter poufny, a wszystkie przesłuchania dyscyplinarne są niejawne, chyba że pozwany wystąpi z wnioskiem o przesłuchanie</w:t>
      </w:r>
      <w:r>
        <w:rPr>
          <w:color w:val="010101"/>
          <w:spacing w:val="-23"/>
          <w:sz w:val="21"/>
        </w:rPr>
        <w:t xml:space="preserve"> </w:t>
      </w:r>
      <w:r>
        <w:rPr>
          <w:color w:val="010101"/>
          <w:sz w:val="21"/>
        </w:rPr>
        <w:t>otwarte.</w:t>
      </w:r>
    </w:p>
    <w:p w14:paraId="701357B1" w14:textId="77777777" w:rsidR="00AD02F0" w:rsidRDefault="00AD02F0">
      <w:pPr>
        <w:pStyle w:val="BodyText"/>
        <w:spacing w:before="10"/>
        <w:rPr>
          <w:sz w:val="20"/>
        </w:rPr>
      </w:pPr>
    </w:p>
    <w:p w14:paraId="311821E1" w14:textId="1073DCAD" w:rsidR="00AD02F0" w:rsidRDefault="006475D5">
      <w:pPr>
        <w:pStyle w:val="ListParagraph"/>
        <w:numPr>
          <w:ilvl w:val="0"/>
          <w:numId w:val="1"/>
        </w:numPr>
        <w:tabs>
          <w:tab w:val="left" w:pos="821"/>
        </w:tabs>
        <w:ind w:right="212" w:hanging="360"/>
        <w:rPr>
          <w:sz w:val="21"/>
        </w:rPr>
      </w:pPr>
      <w:r>
        <w:rPr>
          <w:color w:val="010101"/>
          <w:sz w:val="21"/>
        </w:rPr>
        <w:t xml:space="preserve">W sprawie dodatkowych informacji lub pytań dotyczących tej sprawy, mogą Państwo skontaktować się </w:t>
      </w:r>
      <w:r w:rsidR="004F3AF6" w:rsidRPr="004F3AF6">
        <w:rPr>
          <w:color w:val="050505"/>
          <w:sz w:val="21"/>
          <w:szCs w:val="21"/>
        </w:rPr>
        <w:t xml:space="preserve">Brigantine Police Department’s Internal Affairs unit </w:t>
      </w:r>
      <w:r>
        <w:rPr>
          <w:color w:val="010101"/>
          <w:sz w:val="21"/>
        </w:rPr>
        <w:t>pod</w:t>
      </w:r>
      <w:r>
        <w:rPr>
          <w:color w:val="010101"/>
          <w:spacing w:val="-7"/>
          <w:sz w:val="21"/>
        </w:rPr>
        <w:t xml:space="preserve"> </w:t>
      </w:r>
      <w:r w:rsidR="004F3AF6">
        <w:rPr>
          <w:color w:val="050505"/>
          <w:sz w:val="21"/>
          <w:szCs w:val="21"/>
        </w:rPr>
        <w:t>609-266-7414</w:t>
      </w:r>
    </w:p>
    <w:sectPr w:rsidR="00AD02F0">
      <w:type w:val="continuous"/>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31AF3"/>
    <w:multiLevelType w:val="hybridMultilevel"/>
    <w:tmpl w:val="070A45C8"/>
    <w:lvl w:ilvl="0" w:tplc="72FE042C">
      <w:start w:val="1"/>
      <w:numFmt w:val="decimal"/>
      <w:lvlText w:val="%1."/>
      <w:lvlJc w:val="left"/>
      <w:pPr>
        <w:ind w:left="820" w:hanging="361"/>
        <w:jc w:val="left"/>
      </w:pPr>
      <w:rPr>
        <w:rFonts w:ascii="Arial" w:eastAsia="Arial" w:hAnsi="Arial" w:cs="Arial" w:hint="default"/>
        <w:color w:val="010101"/>
        <w:w w:val="100"/>
        <w:sz w:val="21"/>
        <w:szCs w:val="21"/>
      </w:rPr>
    </w:lvl>
    <w:lvl w:ilvl="1" w:tplc="60CE5670">
      <w:start w:val="1"/>
      <w:numFmt w:val="lowerLetter"/>
      <w:lvlText w:val="%2."/>
      <w:lvlJc w:val="left"/>
      <w:pPr>
        <w:ind w:left="1540" w:hanging="361"/>
        <w:jc w:val="left"/>
      </w:pPr>
      <w:rPr>
        <w:rFonts w:ascii="Arial" w:eastAsia="Arial" w:hAnsi="Arial" w:cs="Arial" w:hint="default"/>
        <w:color w:val="010101"/>
        <w:w w:val="100"/>
        <w:sz w:val="21"/>
        <w:szCs w:val="21"/>
      </w:rPr>
    </w:lvl>
    <w:lvl w:ilvl="2" w:tplc="A0F8D89C">
      <w:numFmt w:val="bullet"/>
      <w:lvlText w:val="•"/>
      <w:lvlJc w:val="left"/>
      <w:pPr>
        <w:ind w:left="2591" w:hanging="361"/>
      </w:pPr>
      <w:rPr>
        <w:rFonts w:hint="default"/>
      </w:rPr>
    </w:lvl>
    <w:lvl w:ilvl="3" w:tplc="602A9684">
      <w:numFmt w:val="bullet"/>
      <w:lvlText w:val="•"/>
      <w:lvlJc w:val="left"/>
      <w:pPr>
        <w:ind w:left="3642" w:hanging="361"/>
      </w:pPr>
      <w:rPr>
        <w:rFonts w:hint="default"/>
      </w:rPr>
    </w:lvl>
    <w:lvl w:ilvl="4" w:tplc="ABE04F30">
      <w:numFmt w:val="bullet"/>
      <w:lvlText w:val="•"/>
      <w:lvlJc w:val="left"/>
      <w:pPr>
        <w:ind w:left="4693" w:hanging="361"/>
      </w:pPr>
      <w:rPr>
        <w:rFonts w:hint="default"/>
      </w:rPr>
    </w:lvl>
    <w:lvl w:ilvl="5" w:tplc="45E241C8">
      <w:numFmt w:val="bullet"/>
      <w:lvlText w:val="•"/>
      <w:lvlJc w:val="left"/>
      <w:pPr>
        <w:ind w:left="5744" w:hanging="361"/>
      </w:pPr>
      <w:rPr>
        <w:rFonts w:hint="default"/>
      </w:rPr>
    </w:lvl>
    <w:lvl w:ilvl="6" w:tplc="1A3CB1E8">
      <w:numFmt w:val="bullet"/>
      <w:lvlText w:val="•"/>
      <w:lvlJc w:val="left"/>
      <w:pPr>
        <w:ind w:left="6795" w:hanging="361"/>
      </w:pPr>
      <w:rPr>
        <w:rFonts w:hint="default"/>
      </w:rPr>
    </w:lvl>
    <w:lvl w:ilvl="7" w:tplc="AE8A7554">
      <w:numFmt w:val="bullet"/>
      <w:lvlText w:val="•"/>
      <w:lvlJc w:val="left"/>
      <w:pPr>
        <w:ind w:left="7846" w:hanging="361"/>
      </w:pPr>
      <w:rPr>
        <w:rFonts w:hint="default"/>
      </w:rPr>
    </w:lvl>
    <w:lvl w:ilvl="8" w:tplc="92625FBE">
      <w:numFmt w:val="bullet"/>
      <w:lvlText w:val="•"/>
      <w:lvlJc w:val="left"/>
      <w:pPr>
        <w:ind w:left="8897" w:hanging="361"/>
      </w:pPr>
      <w:rPr>
        <w:rFonts w:hint="default"/>
      </w:rPr>
    </w:lvl>
  </w:abstractNum>
  <w:num w:numId="1" w16cid:durableId="88776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F0"/>
    <w:rsid w:val="004F3AF6"/>
    <w:rsid w:val="006475D5"/>
    <w:rsid w:val="00AD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299C"/>
  <w15:docId w15:val="{A365DBD4-6E60-4BED-8877-3B508A7B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Burke</dc:creator>
  <cp:lastModifiedBy>T Wodazak</cp:lastModifiedBy>
  <cp:revision>3</cp:revision>
  <dcterms:created xsi:type="dcterms:W3CDTF">2023-05-18T14:54:00Z</dcterms:created>
  <dcterms:modified xsi:type="dcterms:W3CDTF">2023-05-19T15:42:00Z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Acrobat PDFMaker 15 for Word</vt:lpwstr>
  </property>
  <property fmtid="{D5CDD505-2E9C-101B-9397-08002B2CF9AE}" pid="4" name="LastSaved">
    <vt:filetime>2023-05-18T00:00:00Z</vt:filetime>
  </property>
</Properties>
</file>